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321 vom 21. Dezember 1994</w:t>
      </w:r>
    </w:p>
    <w:p>
      <w:r>
        <w:t>Bundesgericht (BGE), 1994-12-21, DE</w:t>
      </w:r>
    </w:p>
    <w:p>
      <w:r>
        <w:rPr>
          <w:b/>
        </w:rPr>
        <w:t xml:space="preserve">Quelle: </w:t>
      </w:r>
      <w:r>
        <w:t>https://mcp.opencaselaw.ch/entscheid/bge_120 IA 321</w:t>
      </w:r>
    </w:p>
    <w:p>
      <w:r>
        <w:t>FR: BGE 120 IA 321 du 21 décembre 1994</w:t>
      </w:r>
    </w:p>
    <w:p>
      <w:r>
        <w:t>IT: BGE 120 IA 321 del 21 dicembre 1994</w:t>
      </w:r>
    </w:p>
    <w:p>
      <w:pPr>
        <w:pStyle w:val="Heading2"/>
      </w:pPr>
      <w:r>
        <w:t>Regeste</w:t>
      </w:r>
    </w:p>
    <w:p>
      <w:r>
        <w:t>Regeste Art. 84 OG; Kantonale Merkblätter über "ökologisches Bauen". Beweisverfahren (Offizialmaxime): Die Stellungnahme eines Bundesamts, das in einem bestimmten Sachbereich über Fachkenntnisse verfügt, wird gestützt auf Art. 95 Abs. 1 OG als Amtsbericht zu den Akten genommen (E. 1). Die kantonalen Merkblätter über "ökologisches Bauen" sind Empfehlungen ohne Rechtsverbindlichkeit für Personen ausserhalb der Verwaltung (E. 3b). Sie enthalten vorwiegend blosse Dienstanweisungen an Beamtinnen und Beamte, die mit Submissionsgeschäften betraut sind (E. 3c), und haben auch über diesen Bereich hinaus keine Aussenwirkungen (E. 3d).</w:t>
      </w:r>
    </w:p>
    <w:p>
      <w:pPr>
        <w:pStyle w:val="Heading2"/>
      </w:pPr>
      <w:r>
        <w:t>Erwägungen</w:t>
      </w:r>
    </w:p>
    <w:p>
      <w:r>
        <w:rPr>
          <w:b/>
        </w:rPr>
        <w:t>E. 1</w:t>
      </w:r>
    </w:p>
    <w:p>
      <w:r>
        <w:t>Der Beschwerdeführer vertritt die Auffassung, es fehle der Präsidialverfügung vom 12. Juli 1994, mit welcher das Eidgenössische Departement des Innern (EDI) zu einer Stellungnahme an das Bundesgericht eingeladen worden sei, die gesetzliche Grundlage. Insbesondere würden die Art. 93 und 95 OG die Einholung einer solchen Stellungnahme nicht zulassen. Dies ist unzutreffend. Die Stellungnahme vom 30. September 1994, welche das BUWAL im Auftrag des EDI eingereicht hat, stellt einen Amtsbericht dar, dessen Beizug durch das Bundesgericht gestützt auf Art. 95 Abs. 1 OG durchaus zulässig ist. Nach dieser Bestimmung ordnet der Instruktionsrichter die zur Aufklärung des Sachverhalts erforderlichen Beweismassnahmen an; für das Beweisverfahren im Sinne von Art. 95 Abs. 1 OG gilt die Offizialmaxime ( BGE 107 Ia 187 E. 2b S. 191 mit Hinweis). Dabei kann das Bundesgericht selbständig massgebliche Sachverhaltsfeststellungen BGE 120 Ia 321 S. 325 vornehmen. Als Beweismittel kommen vor allem Urkunden, Augenscheine sowie die Einholung von Amtsberichten zur Anwendung (WALTER KÄLIN, Das Verfahren der staatsrechtlichen Beschwerde, 2. Auflage, S. 382). Der Antrag, die Stellungnahme des EDI vom 30. September 1994 sei aus den Akten zu weisen, ist daher abzuweisen.</w:t>
      </w:r>
    </w:p>
    <w:p>
      <w:r>
        <w:rPr>
          <w:b/>
        </w:rPr>
        <w:t>E. 3</w:t>
      </w:r>
    </w:p>
    <w:p>
      <w:r>
        <w:t>a)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BGE 114 Ia 452 E. 1a, S. 455 mit Hinweisen). Das Bundesgericht stellt primär auf den materiellen Inhalt des angefochtenen Hoheitsakts und nicht auf dessen Bezeichnung ab (Urteil des Bundesgerichts vom 30. Mai 1984 in ZBl 85/1984, S. 538 ff. E. 5c; RHINOW/KRÄHENMANN, Verwaltungsrechtsprechung, Ergänzungsband Nr. 9 IV). Die umstrittenen Merkblätter und Leitsätze fallen unter den Begriff der Verwaltungsverordnung, die mit staatsrechtlicher Beschwerde nur anfechtbar ist, wenn sie über den Verwaltungsbereich hinaus Aussenwirkungen auf die Rechtsstellung der Bürger entfaltet und wenn gestützt auf sie keine Verfügungen getroffen werden, deren Anfechtung möglich ist und den Betroffenen zugemutet werden kann ( BGE 114 Ia 452 ff. E. 1a, S. 455 mit Hinweisen). b) Die angefochtenen Merkblätter enthalten Grundsätze für die ökologisch ausgerichtete Wahl von Baumaterialien, welche von ihrem Inhalt her lediglich Wertungshilfen für die Materialauswahl darstellen, diese jedoch nicht verbindlich regeln. Die Bewertung der Materialien in den einzelnen Blättern soll als Arbeitshilfe dienen und zum Abwägen zwischen verschiedenen Lösungsmöglichkeiten unter Berücksichtigung der Auswirkungen auf die Umwelt anregen. Die Merkblätter richten sich ausdrücklich nur an "Mitarbeiterinnen und Mitarbeiter" der öffentlichen Verwaltung sowie an "Beauftragte". Adressat ist somit vor allem ein verwaltungsinterner Kreis von Beamtinnen und Beamten sowie von diesen beauftragte verwaltungsexterne Architekten und Ingenieure. Weitere Personen werden durch diese Verwaltungsverordnung nicht verpflichtet. Soweit sie an Personen ausserhalb der Verwaltung verteilt oder von solchen beigezogen und verwendet werden, stellen die Merkblätter für diese Personen unverbindliche Empfehlungen dar, und damit keine mit staatsrechtlicher Beschwerde anfechtbaren Hoheitsakte, weil solchen Empfehlungen jede Rechtsverbindlichkeit fehlt (vgl. Urteil des Bundesgerichts vom 11. September 1989 in ZBl 92/1991, S. 117 f.; BGE 120 Ia 321 S. 326 BGE 108 Ia 264 E. 5 S. 268; KÄLIN, a.a.O., S. 129). Dabei ist unerheblich, ob Art. 6 des Bundesgesetzes über den Umweltschutz vom 7. Oktober 1983 (USG) als gesetzliche Grundlage für die umstrittenen Merkblätter betrachtet werden kann. c) Die angefochtenen Merkblätter enthalten vorwiegend Dienstanweisungen an Beamtinnen und Beamte, welche mit Submissionsgeschäften betraut sind. So sollen die nach Baukostenplan geordneten Arbeitsblätter ausdrücklich bei der Devisierung der einzelnen Arbeitsgattungen helfen, die ökologischen Aspekte bis ins Detail zu verwirklichen. Es handelt sich somit bei den Merkblättern und Leitsätzen in erster Linie um Richtlinien, die bei der Durchführung von Submissionsverfahren zu berücksichtigen sind. Verstösse gegen rein interne Richtlinien für die vergebende Behörde kann der Bewerber regelmässig nicht mit einer förmlichen Beschwerde, sondern nur mit einer Aufsichtsbeschwerde bei einer oberen Verwaltungsinstanz rügen. Die Aufsichtsbeschwerde gibt ihm keinen Anspruch auf Erledigung ( BGE 103 Ib 154 ff. E. 2c). Submissionsvorschriften stellen nach der Rechtsprechung des Bundesgerichts grundsätzlich keine öffentlichrechtlichen Bestimmungen mit Rechtssatzcharakter dar. Soweit der Bewerber aus der Submissionsordnung überhaupt Ansprüche ableiten kann, sind sie privatrechtlicher Natur und daher vor dem Zivilrichter geltend zu machen. Einzig wenn Submissionsbestimmungen den Schutz der unmittelbaren Interessen der Bewerber bezwecken, bejaht das Bundesgericht implizit den Rechtssatzcharakter solcher Bestimmungen ( BGE 115 Ia 76 E. 1d S. 79, BGE 102 Ia 533 ff.; KÄLIN, a.a.O., S. 122; RHINOW/KRÄHENMANN, a.a.O., Nr. 47 BV). In solchen Fällen ist die staatsrechtliche Beschwerde nicht nur zulässig, wenn diese Submissionsbestimmungen im einzelnen Anwendungsfall verletzt werden, sondern es muss auch die abstrakte Normenkontrolle gegen sie zugelassen werden. Die hier umstrittene Verwaltungsverordnung enthält keine Submissionsgrundsätze und insbesondere keine solchen, welche den Schutz der unmittelbaren Interessen der Bewerber bezwecken. Die angefochtenen Merkblätter sollen vielmehr den vergebenden Behörden Entscheidungshilfen für die Materialauswahl vermitteln und stellen insoweit keinen mit staatsrechtlicher Beschwerde anfechtbaren Hoheitsakt (Erlass) dar; ferner ist die Legitimation des Beschwerdeführers nach Art. 88 OG zu verneinen ( BGE 115 Ia 76 E. 1d S. 79 mit Hinweis). d) Die Empfehlungen in den angefochtenen Merkblättern haben entgegen der Auffassung des Beschwerdeführers auch ausserhalb des eben behandelten BGE 120 Ia 321 S. 327 Bereichs der Submission keine Aussenwirkung im Sinne der Rechtsprechung des Bundesgerichts ( BGE 114 Ia 452 E. 1a S. 455, BGE 105 Ia 349 E. 2a S. 353; KÄLIN, a.a.O., S. 143). Die vom Beschwerdeführer behauptete "Aussenwirkung" bezieht sich nicht auf seine Rechtsstellung im Verhältnis zum Staat; er beschwert sich vielmehr über allfällige indirekte im vorliegenden Zusammenhang jedoch rechtlich unerhebliche Auswirkungen auf die privatrechtliche Tätigkeit seiner Mitglieder. Der Beschwerdeführer bringt weiter vor, dass die in den angefochtenen Merkblättern enthaltenen Empfehlungen auch an die Baubewilligungsbehörden gerichtet seien, welche diese im Baubewilligungsverfahren anzuwenden hätten. Sie würden in diesem Sinne Aussenwirkungen entfalten. Selbst wenn diese Behauptung des Beschwerdeführers zuträfe, was die Baudirektion bestreitet und hier offengelassen werden kann, könnte auf die staatsrechtliche Beschwerde nicht eingetreten werden. Nach der Rechtsprechung des Bundesgerichts ist eine Verwaltungsverordnung nur mit staatsrechtlicher Beschwerde anfechtbar, wenn gestützt auf sie keine Verfügungen ergehen, deren Anfechtung möglich ist und den Betroffenen zugemutet werden kann ( BGE 114 Ia 455 , BGE 105 Ia 353 ). Für den unwahrscheinlichen Fall, dass die umstrittenen Empfehlungen entgegen der Darstellung der Baudirektion in einem baurechtlichen Bewilligungsverfahren dennoch in unzulässiger Weise angewendet würden, könnten der Bauherr oder die betroffenen Nachbarn die Baubewilligungsverfügung ohne weiteres anfechten, und eine entsprechende Anfechtung wäre auch zumutbar. e) Nach dem Gesagten sind die angefochtenen Merkblätter als Verwaltungsverordnung ohne Aussenwirkung und damit ohne Erlasscharakter zu bezeichnen. Sie stellen keinen staatlichen Hoheitsakt dar und sind somit nicht mit staatsrechtlicher Beschwerde anfechtbar. Auf die staatsrechtliche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